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320"/>
        </w:tabs>
        <w:ind w:left="0" w:firstLine="0"/>
        <w:jc w:val="both"/>
        <w:rPr>
          <w:rFonts w:ascii="Georgia" w:cs="Georgia" w:eastAsia="Georgia" w:hAnsi="Georgia"/>
          <w:sz w:val="28"/>
          <w:szCs w:val="28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sz w:val="28"/>
          <w:szCs w:val="28"/>
          <w:vertAlign w:val="baseline"/>
          <w:rtl w:val="0"/>
        </w:rPr>
        <w:t xml:space="preserve">THE SON OF MAN,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Georgia" w:cs="Georgia" w:eastAsia="Georgia" w:hAnsi="Georgia"/>
          <w:sz w:val="28"/>
          <w:szCs w:val="28"/>
          <w:vertAlign w:val="baseline"/>
          <w:rtl w:val="0"/>
        </w:rPr>
        <w:t xml:space="preserve">SON OF DAVID</w:t>
      </w:r>
    </w:p>
    <w:p w:rsidR="00000000" w:rsidDel="00000000" w:rsidP="00000000" w:rsidRDefault="00000000" w:rsidRPr="00000000" w14:paraId="00000002">
      <w:pPr>
        <w:tabs>
          <w:tab w:val="left" w:leader="none" w:pos="432"/>
          <w:tab w:val="left" w:leader="none" w:pos="2160"/>
        </w:tabs>
        <w:spacing w:line="192" w:lineRule="auto"/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Luke 18:31-43</w:t>
      </w:r>
    </w:p>
    <w:p w:rsidR="00000000" w:rsidDel="00000000" w:rsidP="00000000" w:rsidRDefault="00000000" w:rsidRPr="00000000" w14:paraId="00000004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Key Verse: 18:31</w:t>
      </w:r>
    </w:p>
    <w:p w:rsidR="00000000" w:rsidDel="00000000" w:rsidP="00000000" w:rsidRDefault="00000000" w:rsidRPr="00000000" w14:paraId="00000005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highlight w:val="white"/>
          <w:vertAlign w:val="baseline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i w:val="1"/>
          <w:color w:val="000000"/>
          <w:highlight w:val="white"/>
          <w:vertAlign w:val="baseline"/>
          <w:rtl w:val="0"/>
        </w:rPr>
        <w:t xml:space="preserve">Jesus took the Twelve aside and told them, ‘We are going up to Jerusalem, and everything that is written by the prophets about the Son of Man will be fulfilled</w:t>
      </w:r>
      <w:r w:rsidDel="00000000" w:rsidR="00000000" w:rsidRPr="00000000">
        <w:rPr>
          <w:rFonts w:ascii="Georgia" w:cs="Georgia" w:eastAsia="Georgia" w:hAnsi="Georgia"/>
          <w:color w:val="000000"/>
          <w:highlight w:val="white"/>
          <w:vertAlign w:val="baseline"/>
          <w:rtl w:val="0"/>
        </w:rPr>
        <w:t xml:space="preserve">.’”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Read verses 31-33. To whom was Jesus speaking? In predicting his death for the third time, what new emphasis did Jesus give (9:22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44; 24:44)? What did he want them to know about “</w:t>
      </w: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the Son of Man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”? </w:t>
      </w:r>
    </w:p>
    <w:p w:rsidR="00000000" w:rsidDel="00000000" w:rsidP="00000000" w:rsidRDefault="00000000" w:rsidRPr="00000000" w14:paraId="00000009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What would happen to Jesus (32-33)? Why did he have to suffer and die this way (Isa 53:4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5; 1Pe 2:24)? Why rise again (Ac 2:23-34; 1Pe 1:3,4)? How did the Twelve respond, and when and how would they understand (34; 24:45)?</w:t>
      </w:r>
    </w:p>
    <w:p w:rsidR="00000000" w:rsidDel="00000000" w:rsidP="00000000" w:rsidRDefault="00000000" w:rsidRPr="00000000" w14:paraId="0000000C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3.</w:t>
        <w:tab/>
        <w:t xml:space="preserve">As Jesus approached Jericho, who was there and what did he do (35-38)? When rebuked, why did he keep crying out (39)? What did he believe about Jesus? What does the title, “the Son of David” teach about Jesus (2Sa 7:12-13; Ac 13:22)? </w:t>
      </w:r>
    </w:p>
    <w:p w:rsidR="00000000" w:rsidDel="00000000" w:rsidP="00000000" w:rsidRDefault="00000000" w:rsidRPr="00000000" w14:paraId="0000000F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4.</w:t>
        <w:tab/>
        <w:t xml:space="preserve">How did Jesus respond (40-41a)? What was the blind man’s clear request (41b)? How did Jesus bless him (42-43a)? What did the man and the crowd do (43b)? What does this event teach us about who Jesus is, and his character (Isa 42:3, 6-7)?</w:t>
      </w:r>
    </w:p>
    <w:p w:rsidR="00000000" w:rsidDel="00000000" w:rsidP="00000000" w:rsidRDefault="00000000" w:rsidRPr="00000000" w14:paraId="00000012">
      <w:pPr>
        <w:tabs>
          <w:tab w:val="left" w:leader="none" w:pos="432"/>
          <w:tab w:val="left" w:leader="none" w:pos="2160"/>
        </w:tabs>
        <w:ind w:left="0"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800" w:left="1800" w:right="1800" w:header="180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