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431" w:hanging="431"/>
        <w:jc w:val="center"/>
        <w:rPr>
          <w:rFonts w:ascii="Georgia" w:cs="Georgia" w:eastAsia="Georgia" w:hAnsi="Georgia"/>
          <w:sz w:val="30"/>
          <w:szCs w:val="30"/>
        </w:rPr>
      </w:pPr>
      <w:r w:rsidDel="00000000" w:rsidR="00000000" w:rsidRPr="00000000">
        <w:rPr>
          <w:rFonts w:ascii="Georgia" w:cs="Georgia" w:eastAsia="Georgia" w:hAnsi="Georgia"/>
          <w:sz w:val="30"/>
          <w:szCs w:val="30"/>
          <w:rtl w:val="0"/>
        </w:rPr>
        <w:t xml:space="preserve">REIGN WITH CHRIST</w:t>
      </w:r>
    </w:p>
    <w:p w:rsidR="00000000" w:rsidDel="00000000" w:rsidP="00000000" w:rsidRDefault="00000000" w:rsidRPr="00000000" w14:paraId="00000002">
      <w:pPr>
        <w:ind w:left="431" w:hanging="431"/>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Revelation 20:1-15</w:t>
      </w:r>
    </w:p>
    <w:p w:rsidR="00000000" w:rsidDel="00000000" w:rsidP="00000000" w:rsidRDefault="00000000" w:rsidRPr="00000000" w14:paraId="00000004">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Key Verse: 20:6</w:t>
      </w:r>
    </w:p>
    <w:p w:rsidR="00000000" w:rsidDel="00000000" w:rsidP="00000000" w:rsidRDefault="00000000" w:rsidRPr="00000000" w14:paraId="00000005">
      <w:pPr>
        <w:ind w:left="0" w:firstLine="0"/>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6">
      <w:pPr>
        <w:ind w:left="0" w:firstLine="0"/>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Blessed and holy are those who share in the first resurrection. The second death has no power over them, but they will be priests of God and of Christ and will reign with him for a thousand years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7">
      <w:pPr>
        <w:ind w:left="431" w:hanging="431"/>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w:t>
        <w:tab/>
        <w:t xml:space="preserve">What did John see the angel doing (1-3)? How is Satan described? What happened to him? Why was he thrown into the Abyss and for how long?</w:t>
      </w:r>
      <w:r w:rsidDel="00000000" w:rsidR="00000000" w:rsidRPr="00000000">
        <w:rPr>
          <w:rFonts w:ascii="Georgia" w:cs="Georgia" w:eastAsia="Georgia" w:hAnsi="Georgi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w:t>
        <w:tab/>
        <w:t xml:space="preserve">What two scenes did John see (4-6)? What virtues characterize the martyrs? How are they blessed in contrast to “the rest of the dead” (2Ti 2:12a)? </w:t>
      </w:r>
    </w:p>
    <w:p w:rsidR="00000000" w:rsidDel="00000000" w:rsidP="00000000" w:rsidRDefault="00000000" w:rsidRPr="00000000" w14:paraId="0000000B">
      <w:pPr>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w:t>
        <w:tab/>
        <w:t xml:space="preserve">After being released, what did Satan do (7-9a)? How did God judge Satan, the beast and the false prophet (9b-10; 19:20)?</w:t>
      </w:r>
    </w:p>
    <w:p w:rsidR="00000000" w:rsidDel="00000000" w:rsidP="00000000" w:rsidRDefault="00000000" w:rsidRPr="00000000" w14:paraId="0000000D">
      <w:pPr>
        <w:ind w:left="431" w:hanging="431"/>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431" w:hanging="43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w:t>
        <w:tab/>
        <w:t xml:space="preserve">How is the judgment of the dead described (11-15)? What kinds of books are mentioned? What is the criteria of God’s judgment? What are the eternal consequences?</w:t>
      </w:r>
    </w:p>
    <w:p w:rsidR="00000000" w:rsidDel="00000000" w:rsidP="00000000" w:rsidRDefault="00000000" w:rsidRPr="00000000" w14:paraId="0000000F">
      <w:pPr>
        <w:ind w:left="0" w:firstLine="0"/>
        <w:jc w:val="both"/>
        <w:rPr>
          <w:rFonts w:ascii="Georgia" w:cs="Georgia" w:eastAsia="Georgia" w:hAnsi="Georgia"/>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727" w:top="1727" w:left="1727" w:right="17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The thousand years (2,4,5,6,7) is symbolic of Jesus’ reign at the present time and should not be taken literally, in keeping with the amillennial view. (See the Introduction made by UBF HQ under the topic Millennial Views.)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