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431.99999999999994" w:hanging="431.99999999999994"/>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TRUE AND JUST ARE YOUR JUDGMENTS</w:t>
      </w:r>
    </w:p>
    <w:p w:rsidR="00000000" w:rsidDel="00000000" w:rsidP="00000000" w:rsidRDefault="00000000" w:rsidRPr="00000000" w14:paraId="00000002">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Revelation 15:1-16:21</w:t>
      </w:r>
    </w:p>
    <w:p w:rsidR="00000000" w:rsidDel="00000000" w:rsidP="00000000" w:rsidRDefault="00000000" w:rsidRPr="00000000" w14:paraId="00000003">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Key Verse: 16:7</w:t>
      </w:r>
    </w:p>
    <w:p w:rsidR="00000000" w:rsidDel="00000000" w:rsidP="00000000" w:rsidRDefault="00000000" w:rsidRPr="00000000" w14:paraId="00000004">
      <w:pPr>
        <w:spacing w:line="240" w:lineRule="auto"/>
        <w:ind w:left="0" w:firstLine="0"/>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I heard the altar respond: “Yes, Lord God Almighty, true and just are your judgments.”</w:t>
      </w:r>
    </w:p>
    <w:p w:rsidR="00000000" w:rsidDel="00000000" w:rsidP="00000000" w:rsidRDefault="00000000" w:rsidRPr="00000000" w14:paraId="00000005">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06">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w:t>
        <w:tab/>
        <w:t xml:space="preserve">What two scenes did John see (15:1-4)? What is the meaning of the song of God’s servant Moses and of the Lamb (Ex 15:1-18)? What does this teach about God and the purpose of his judgment?</w:t>
      </w:r>
    </w:p>
    <w:p w:rsidR="00000000" w:rsidDel="00000000" w:rsidP="00000000" w:rsidRDefault="00000000" w:rsidRPr="00000000" w14:paraId="00000007">
      <w:pPr>
        <w:spacing w:line="240" w:lineRule="auto"/>
        <w:ind w:left="431.99999999999994" w:hanging="431.99999999999994"/>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w:t>
        <w:tab/>
        <w:t xml:space="preserve">Where does this scene take place (5-8)? Why is it important to know that judgment comes from the heavenly temple? What can we learn about the agents and standard of God’s judgment? </w:t>
      </w:r>
    </w:p>
    <w:p w:rsidR="00000000" w:rsidDel="00000000" w:rsidP="00000000" w:rsidRDefault="00000000" w:rsidRPr="00000000" w14:paraId="00000009">
      <w:pPr>
        <w:spacing w:line="240" w:lineRule="auto"/>
        <w:ind w:left="431.99999999999994" w:hanging="431.99999999999994"/>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w:t>
        <w:tab/>
        <w:t xml:space="preserve">How does God’s final judgment commence (16:1)? How did the first three angels execute it (2-4)? What can we learn about God who vindicates his people (5-7)?</w:t>
      </w:r>
    </w:p>
    <w:p w:rsidR="00000000" w:rsidDel="00000000" w:rsidP="00000000" w:rsidRDefault="00000000" w:rsidRPr="00000000" w14:paraId="0000000B">
      <w:pPr>
        <w:spacing w:line="240" w:lineRule="auto"/>
        <w:ind w:left="431.99999999999994" w:hanging="431.99999999999994"/>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w:t>
        <w:tab/>
        <w:t xml:space="preserve">What is the common factor in the fourth and fifth judgments (8-11)? What is the scope and character of the sixth judgment (12-14,16; 2Th 2:9-12)? What does Christ tell his people to do in the midst of judgment, and why (15; Ro 13:13-14)?</w:t>
      </w:r>
    </w:p>
    <w:p w:rsidR="00000000" w:rsidDel="00000000" w:rsidP="00000000" w:rsidRDefault="00000000" w:rsidRPr="00000000" w14:paraId="0000000D">
      <w:pPr>
        <w:spacing w:line="240" w:lineRule="auto"/>
        <w:ind w:left="431.99999999999994" w:hanging="431.99999999999994"/>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ind w:left="431.99999999999994" w:hanging="431.99999999999994"/>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w:t>
        <w:tab/>
        <w:t xml:space="preserve">What happened when the seventh angel poured out his bowl (17-21)? What is the meaning of “It is done!”? How is the terror of this final judgment expressed? As we see the seven bowls of God’s wrath poured out, what progression can we find?</w:t>
      </w:r>
    </w:p>
    <w:p w:rsidR="00000000" w:rsidDel="00000000" w:rsidP="00000000" w:rsidRDefault="00000000" w:rsidRPr="00000000" w14:paraId="0000000F">
      <w:pPr>
        <w:spacing w:line="240" w:lineRule="auto"/>
        <w:ind w:left="431.99999999999994" w:hanging="431.99999999999994"/>
        <w:jc w:val="both"/>
        <w:rPr>
          <w:rFonts w:ascii="Georgia" w:cs="Georgia" w:eastAsia="Georgia" w:hAnsi="Georgia"/>
          <w:sz w:val="24"/>
          <w:szCs w:val="24"/>
        </w:rPr>
      </w:pPr>
      <w:r w:rsidDel="00000000" w:rsidR="00000000" w:rsidRPr="00000000">
        <w:rPr>
          <w:rtl w:val="0"/>
        </w:rPr>
      </w:r>
    </w:p>
    <w:sectPr>
      <w:pgSz w:h="15840" w:w="12240" w:orient="portrait"/>
      <w:pgMar w:bottom="1727.9999999999998" w:top="1727.9999999999998" w:left="1727.9999999999998" w:right="1727.99999999999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